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B83E4" w14:textId="77777777" w:rsidR="006B5CEE" w:rsidRDefault="006B5CEE" w:rsidP="00432E98">
      <w:pPr>
        <w:jc w:val="both"/>
        <w:rPr>
          <w:b/>
          <w:bCs/>
        </w:rPr>
      </w:pPr>
      <w:bookmarkStart w:id="0" w:name="_GoBack"/>
      <w:bookmarkEnd w:id="0"/>
    </w:p>
    <w:p w14:paraId="771B52D7" w14:textId="280CD49C" w:rsidR="006B5CEE" w:rsidRPr="006E1B34" w:rsidRDefault="006E1B34" w:rsidP="00432E98">
      <w:pPr>
        <w:jc w:val="both"/>
      </w:pPr>
      <w:r w:rsidRPr="006E1B34">
        <w:t>LT/IK May 7</w:t>
      </w:r>
    </w:p>
    <w:p w14:paraId="72945E51" w14:textId="3C63E49C" w:rsidR="006B5CEE" w:rsidRPr="00C40EC3" w:rsidRDefault="003B0F5A" w:rsidP="003B0F5A">
      <w:pPr>
        <w:jc w:val="right"/>
        <w:rPr>
          <w:rFonts w:cstheme="minorHAnsi"/>
          <w:b/>
        </w:rPr>
      </w:pPr>
      <w:r w:rsidRPr="006E1B34">
        <w:rPr>
          <w:rFonts w:cstheme="minorHAnsi"/>
          <w:lang w:val="en-US"/>
        </w:rPr>
        <w:t xml:space="preserve">Brussels, </w:t>
      </w:r>
      <w:r w:rsidR="00C2092C" w:rsidRPr="006E1B34">
        <w:rPr>
          <w:rFonts w:cstheme="minorHAnsi"/>
          <w:lang w:val="en-US"/>
        </w:rPr>
        <w:t>18</w:t>
      </w:r>
      <w:r w:rsidR="00362B44">
        <w:rPr>
          <w:rFonts w:cstheme="minorHAnsi"/>
        </w:rPr>
        <w:t xml:space="preserve"> May 2020</w:t>
      </w:r>
    </w:p>
    <w:p w14:paraId="40F3352C" w14:textId="5F4602D2" w:rsidR="006B5CEE" w:rsidRPr="00701356" w:rsidRDefault="006B5CEE" w:rsidP="00701356">
      <w:pPr>
        <w:pStyle w:val="NoSpacing"/>
        <w:rPr>
          <w:b/>
          <w:bCs/>
        </w:rPr>
      </w:pPr>
      <w:r w:rsidRPr="00701356">
        <w:rPr>
          <w:b/>
          <w:bCs/>
        </w:rPr>
        <w:t>To the industriAll Europe members of the B</w:t>
      </w:r>
      <w:r w:rsidR="00362B44" w:rsidRPr="00701356">
        <w:rPr>
          <w:b/>
          <w:bCs/>
        </w:rPr>
        <w:t xml:space="preserve">uilding </w:t>
      </w:r>
      <w:r w:rsidRPr="00701356">
        <w:rPr>
          <w:b/>
          <w:bCs/>
        </w:rPr>
        <w:t>T</w:t>
      </w:r>
      <w:r w:rsidR="00362B44" w:rsidRPr="00701356">
        <w:rPr>
          <w:b/>
          <w:bCs/>
        </w:rPr>
        <w:t xml:space="preserve">rade </w:t>
      </w:r>
      <w:r w:rsidRPr="00701356">
        <w:rPr>
          <w:b/>
          <w:bCs/>
        </w:rPr>
        <w:t>U</w:t>
      </w:r>
      <w:r w:rsidR="00362B44" w:rsidRPr="00701356">
        <w:rPr>
          <w:b/>
          <w:bCs/>
        </w:rPr>
        <w:t xml:space="preserve">nion </w:t>
      </w:r>
      <w:r w:rsidRPr="00701356">
        <w:rPr>
          <w:b/>
          <w:bCs/>
        </w:rPr>
        <w:t>P</w:t>
      </w:r>
      <w:r w:rsidR="00362B44" w:rsidRPr="00701356">
        <w:rPr>
          <w:b/>
          <w:bCs/>
        </w:rPr>
        <w:t>ower</w:t>
      </w:r>
      <w:r w:rsidRPr="00701356">
        <w:rPr>
          <w:b/>
          <w:bCs/>
        </w:rPr>
        <w:t xml:space="preserve"> Task force</w:t>
      </w:r>
    </w:p>
    <w:p w14:paraId="4D4BBA9E" w14:textId="1BE71D70" w:rsidR="006B5CEE" w:rsidRPr="00701356" w:rsidRDefault="006B5CEE" w:rsidP="00701356">
      <w:pPr>
        <w:pStyle w:val="NoSpacing"/>
        <w:rPr>
          <w:b/>
          <w:bCs/>
        </w:rPr>
      </w:pPr>
      <w:r w:rsidRPr="00701356">
        <w:rPr>
          <w:b/>
          <w:bCs/>
        </w:rPr>
        <w:t>To all industriAll Europe affiliate</w:t>
      </w:r>
      <w:r w:rsidR="00362B44" w:rsidRPr="00701356">
        <w:rPr>
          <w:b/>
          <w:bCs/>
        </w:rPr>
        <w:t>d organisations</w:t>
      </w:r>
    </w:p>
    <w:p w14:paraId="0240988C" w14:textId="77777777" w:rsidR="00362B44" w:rsidRDefault="00362B44" w:rsidP="00DE01FA">
      <w:pPr>
        <w:jc w:val="both"/>
        <w:rPr>
          <w:rFonts w:cstheme="minorHAnsi"/>
          <w:b/>
        </w:rPr>
      </w:pPr>
    </w:p>
    <w:p w14:paraId="3BD74C82" w14:textId="3000E84C" w:rsidR="00DE01FA" w:rsidRPr="00C40EC3" w:rsidRDefault="00DE01FA" w:rsidP="00DE01FA">
      <w:pPr>
        <w:suppressAutoHyphens/>
        <w:ind w:left="567" w:hanging="567"/>
        <w:jc w:val="both"/>
        <w:rPr>
          <w:rFonts w:eastAsia="Courier" w:cstheme="minorHAnsi"/>
          <w:lang w:eastAsia="ar-SA"/>
        </w:rPr>
      </w:pPr>
      <w:r w:rsidRPr="00C40EC3">
        <w:rPr>
          <w:rFonts w:eastAsia="Courier" w:cstheme="minorHAnsi"/>
          <w:lang w:eastAsia="ar-SA"/>
        </w:rPr>
        <w:t xml:space="preserve">Dear </w:t>
      </w:r>
      <w:r w:rsidR="00DF3FB3">
        <w:rPr>
          <w:rFonts w:eastAsia="Courier" w:cstheme="minorHAnsi"/>
          <w:lang w:eastAsia="ar-SA"/>
        </w:rPr>
        <w:t>C</w:t>
      </w:r>
      <w:r w:rsidRPr="00C40EC3">
        <w:rPr>
          <w:rFonts w:eastAsia="Courier" w:cstheme="minorHAnsi"/>
          <w:lang w:eastAsia="ar-SA"/>
        </w:rPr>
        <w:t>olleagues,</w:t>
      </w:r>
    </w:p>
    <w:p w14:paraId="58D7D63F" w14:textId="28CB883B" w:rsidR="00362B44" w:rsidRPr="00701356" w:rsidRDefault="00362B44" w:rsidP="00432E98">
      <w:pPr>
        <w:jc w:val="both"/>
      </w:pPr>
      <w:r>
        <w:t xml:space="preserve">Re.: </w:t>
      </w:r>
      <w:r w:rsidRPr="00362B44">
        <w:rPr>
          <w:b/>
        </w:rPr>
        <w:t>Recommendations</w:t>
      </w:r>
      <w:r>
        <w:rPr>
          <w:b/>
        </w:rPr>
        <w:t xml:space="preserve"> on</w:t>
      </w:r>
      <w:r w:rsidRPr="00362B44">
        <w:rPr>
          <w:b/>
          <w:bCs/>
        </w:rPr>
        <w:t xml:space="preserve"> how to prepare for building stronger </w:t>
      </w:r>
      <w:r>
        <w:rPr>
          <w:b/>
          <w:bCs/>
        </w:rPr>
        <w:t xml:space="preserve">trade </w:t>
      </w:r>
      <w:r w:rsidRPr="00362B44">
        <w:rPr>
          <w:b/>
          <w:bCs/>
        </w:rPr>
        <w:t>unions in Post-Corona times</w:t>
      </w:r>
    </w:p>
    <w:p w14:paraId="0E944016" w14:textId="4DFBC35E" w:rsidR="00FA6B99" w:rsidRDefault="00C43A69" w:rsidP="00432E98">
      <w:pPr>
        <w:jc w:val="both"/>
      </w:pPr>
      <w:r>
        <w:t>I</w:t>
      </w:r>
      <w:r w:rsidR="006B5CEE">
        <w:t xml:space="preserve">ndustriAll </w:t>
      </w:r>
      <w:r w:rsidR="00362B44">
        <w:t xml:space="preserve">Europe </w:t>
      </w:r>
      <w:r w:rsidR="006B5CEE">
        <w:t xml:space="preserve">is paying </w:t>
      </w:r>
      <w:r w:rsidR="00055C06">
        <w:t>close</w:t>
      </w:r>
      <w:r w:rsidR="006B5CEE">
        <w:t xml:space="preserve"> attention to the consequences of the </w:t>
      </w:r>
      <w:r w:rsidR="00025969">
        <w:t>C</w:t>
      </w:r>
      <w:r w:rsidR="00BC1AE7">
        <w:t>OVID-</w:t>
      </w:r>
      <w:r w:rsidR="002C5E9E" w:rsidRPr="002C5E9E">
        <w:t xml:space="preserve">19 </w:t>
      </w:r>
      <w:r w:rsidR="006B5CEE">
        <w:t>outbreak</w:t>
      </w:r>
      <w:r w:rsidR="006B5CEE" w:rsidRPr="00B828B0">
        <w:t xml:space="preserve">, the </w:t>
      </w:r>
      <w:r w:rsidR="00356594" w:rsidRPr="00B828B0">
        <w:t>lockdowns,</w:t>
      </w:r>
      <w:r w:rsidR="002C5E9E" w:rsidRPr="00B828B0">
        <w:t xml:space="preserve"> </w:t>
      </w:r>
      <w:r w:rsidR="006B5CEE" w:rsidRPr="00B828B0">
        <w:t xml:space="preserve">and the impact on the workers in our industries. </w:t>
      </w:r>
      <w:r w:rsidR="00B828B0" w:rsidRPr="00B828B0">
        <w:t>We are facing enormous challenges. Beside</w:t>
      </w:r>
      <w:r w:rsidR="001A2C2B">
        <w:t>s</w:t>
      </w:r>
      <w:r w:rsidR="00B828B0" w:rsidRPr="00B828B0">
        <w:t xml:space="preserve"> the </w:t>
      </w:r>
      <w:r w:rsidR="00BF1092">
        <w:t>major risks to</w:t>
      </w:r>
      <w:r w:rsidR="00B828B0" w:rsidRPr="00B828B0">
        <w:t xml:space="preserve"> health, workers are </w:t>
      </w:r>
      <w:r w:rsidR="00362B44">
        <w:t xml:space="preserve">also </w:t>
      </w:r>
      <w:r w:rsidR="00B828B0" w:rsidRPr="00B828B0">
        <w:t xml:space="preserve">affected by short-time work, unemployment, </w:t>
      </w:r>
      <w:r w:rsidR="00E75A4B">
        <w:t>and</w:t>
      </w:r>
      <w:r w:rsidR="00B828B0" w:rsidRPr="00B828B0">
        <w:t xml:space="preserve"> working from home - often with the double burden of family </w:t>
      </w:r>
      <w:r w:rsidR="00257AC1">
        <w:t>life</w:t>
      </w:r>
      <w:r w:rsidR="00362B44">
        <w:t>.</w:t>
      </w:r>
      <w:r w:rsidR="00B828B0" w:rsidRPr="00B828B0">
        <w:t xml:space="preserve"> In these times of threat to health and workers’ jobs</w:t>
      </w:r>
      <w:r w:rsidR="00173D4B">
        <w:t>,</w:t>
      </w:r>
      <w:r w:rsidR="00B828B0" w:rsidRPr="00B828B0">
        <w:t xml:space="preserve"> strong trade unions are more important than ever.</w:t>
      </w:r>
      <w:r w:rsidR="00FA6B99">
        <w:t xml:space="preserve"> </w:t>
      </w:r>
      <w:r w:rsidR="006B5CEE" w:rsidRPr="00B828B0">
        <w:t xml:space="preserve">We are convinced that strong </w:t>
      </w:r>
      <w:r w:rsidR="0078610E">
        <w:t xml:space="preserve">trade </w:t>
      </w:r>
      <w:r w:rsidR="006B5CEE" w:rsidRPr="00B828B0">
        <w:t xml:space="preserve">unions </w:t>
      </w:r>
      <w:r w:rsidR="00362B44">
        <w:t>supported by secure</w:t>
      </w:r>
      <w:r w:rsidR="0078610E">
        <w:t xml:space="preserve"> collective agreements </w:t>
      </w:r>
      <w:r w:rsidR="00356594" w:rsidRPr="00B828B0">
        <w:t>can</w:t>
      </w:r>
      <w:r w:rsidR="006B5CEE" w:rsidRPr="00B828B0">
        <w:t xml:space="preserve"> influence </w:t>
      </w:r>
      <w:r w:rsidR="00CB42A6" w:rsidRPr="00B828B0">
        <w:t>positively</w:t>
      </w:r>
      <w:r w:rsidR="006B5CEE" w:rsidRPr="00B828B0">
        <w:t xml:space="preserve"> the working and living conditions </w:t>
      </w:r>
      <w:r w:rsidR="00CB42A6" w:rsidRPr="00B828B0">
        <w:t xml:space="preserve">of industrial </w:t>
      </w:r>
      <w:r w:rsidR="006B5CEE" w:rsidRPr="00B828B0">
        <w:t>workers in the post-pandemic economy in Europe</w:t>
      </w:r>
      <w:r w:rsidR="00CB42A6" w:rsidRPr="00B828B0">
        <w:t>.</w:t>
      </w:r>
    </w:p>
    <w:p w14:paraId="6E74BF7D" w14:textId="0E76D3F0" w:rsidR="002C5E9E" w:rsidRPr="00FA6B99" w:rsidRDefault="00723EC0" w:rsidP="00432E98">
      <w:pPr>
        <w:jc w:val="both"/>
        <w:rPr>
          <w:b/>
          <w:bCs/>
        </w:rPr>
      </w:pPr>
      <w:r>
        <w:rPr>
          <w:b/>
          <w:bCs/>
          <w:iCs/>
        </w:rPr>
        <w:t>I</w:t>
      </w:r>
      <w:r w:rsidR="0078610E" w:rsidRPr="00FA6B99">
        <w:rPr>
          <w:b/>
          <w:bCs/>
          <w:iCs/>
        </w:rPr>
        <w:t>ndustriAll Europe</w:t>
      </w:r>
      <w:r w:rsidR="0078610E">
        <w:rPr>
          <w:b/>
          <w:bCs/>
          <w:iCs/>
        </w:rPr>
        <w:t xml:space="preserve">´s </w:t>
      </w:r>
      <w:r w:rsidR="0078610E" w:rsidRPr="00FA6B99">
        <w:rPr>
          <w:b/>
          <w:bCs/>
          <w:iCs/>
        </w:rPr>
        <w:t xml:space="preserve">priority </w:t>
      </w:r>
      <w:r w:rsidR="0078610E">
        <w:rPr>
          <w:b/>
          <w:bCs/>
          <w:iCs/>
        </w:rPr>
        <w:t>is o</w:t>
      </w:r>
      <w:r w:rsidR="00B828B0" w:rsidRPr="00FA6B99">
        <w:rPr>
          <w:b/>
          <w:bCs/>
          <w:iCs/>
        </w:rPr>
        <w:t>rganising for collective bargaining</w:t>
      </w:r>
      <w:r w:rsidR="0078610E">
        <w:rPr>
          <w:b/>
          <w:bCs/>
          <w:iCs/>
        </w:rPr>
        <w:t>!</w:t>
      </w:r>
    </w:p>
    <w:p w14:paraId="77E4C97C" w14:textId="541E4861" w:rsidR="003F1874" w:rsidRDefault="0078610E" w:rsidP="00432E98">
      <w:pPr>
        <w:jc w:val="both"/>
      </w:pPr>
      <w:r>
        <w:t>The C</w:t>
      </w:r>
      <w:r w:rsidR="00723EC0">
        <w:t>OVID-</w:t>
      </w:r>
      <w:r>
        <w:t xml:space="preserve">19 crisis has made </w:t>
      </w:r>
      <w:r w:rsidR="00B54A48">
        <w:t xml:space="preserve">very </w:t>
      </w:r>
      <w:r>
        <w:t xml:space="preserve">visible, that </w:t>
      </w:r>
      <w:r w:rsidR="00154AB1">
        <w:t>only in countries</w:t>
      </w:r>
      <w:r>
        <w:t xml:space="preserve">, </w:t>
      </w:r>
      <w:r w:rsidR="00154AB1">
        <w:t>sector</w:t>
      </w:r>
      <w:r>
        <w:t xml:space="preserve">s and </w:t>
      </w:r>
      <w:r w:rsidR="00154AB1">
        <w:t xml:space="preserve">companies </w:t>
      </w:r>
      <w:r>
        <w:t xml:space="preserve">where </w:t>
      </w:r>
      <w:r w:rsidR="00B54A48">
        <w:t>trade unions</w:t>
      </w:r>
      <w:r>
        <w:t xml:space="preserve"> have a </w:t>
      </w:r>
      <w:r w:rsidR="00356594">
        <w:t>reliable social</w:t>
      </w:r>
      <w:r>
        <w:t xml:space="preserve"> dialogue </w:t>
      </w:r>
      <w:r w:rsidR="00B54A48">
        <w:t>with their counterpart with</w:t>
      </w:r>
      <w:r>
        <w:t xml:space="preserve"> stable collective bargaining structures</w:t>
      </w:r>
      <w:r w:rsidR="00362B44">
        <w:t>,</w:t>
      </w:r>
      <w:r>
        <w:t xml:space="preserve"> </w:t>
      </w:r>
      <w:r w:rsidR="003F1874">
        <w:t xml:space="preserve">workers and their families </w:t>
      </w:r>
      <w:r w:rsidR="00362B44">
        <w:t xml:space="preserve">could benefit </w:t>
      </w:r>
      <w:r w:rsidR="001C23C3">
        <w:t xml:space="preserve">from </w:t>
      </w:r>
      <w:proofErr w:type="gramStart"/>
      <w:r w:rsidR="001C23C3">
        <w:t>sufficient</w:t>
      </w:r>
      <w:proofErr w:type="gramEnd"/>
      <w:r w:rsidR="003F1874">
        <w:t xml:space="preserve"> protection</w:t>
      </w:r>
      <w:r w:rsidR="00362B44">
        <w:t>.</w:t>
      </w:r>
      <w:r w:rsidR="003F1874">
        <w:t xml:space="preserve"> </w:t>
      </w:r>
      <w:r w:rsidR="00362B44">
        <w:t>W</w:t>
      </w:r>
      <w:r w:rsidR="003F1874">
        <w:t xml:space="preserve">hile </w:t>
      </w:r>
      <w:r w:rsidR="00362B44">
        <w:t>in</w:t>
      </w:r>
      <w:r w:rsidR="003F1874">
        <w:t xml:space="preserve"> </w:t>
      </w:r>
      <w:r w:rsidR="00362B44">
        <w:t xml:space="preserve">other </w:t>
      </w:r>
      <w:r w:rsidR="001705FC">
        <w:t xml:space="preserve">countries </w:t>
      </w:r>
      <w:r w:rsidR="003F1874">
        <w:t xml:space="preserve">and companies </w:t>
      </w:r>
      <w:r w:rsidR="001705FC">
        <w:t xml:space="preserve">the crisis </w:t>
      </w:r>
      <w:r w:rsidR="00362B44">
        <w:t xml:space="preserve">has been used </w:t>
      </w:r>
      <w:r w:rsidR="001705FC">
        <w:t xml:space="preserve">to </w:t>
      </w:r>
      <w:r w:rsidR="00154AB1">
        <w:t>restrict or</w:t>
      </w:r>
      <w:r w:rsidR="00FA6B99">
        <w:t xml:space="preserve"> - worse- </w:t>
      </w:r>
      <w:r w:rsidR="001705FC">
        <w:t>destroy legal protection for workers</w:t>
      </w:r>
      <w:r w:rsidR="004A59F4">
        <w:t xml:space="preserve"> and </w:t>
      </w:r>
      <w:r w:rsidR="001705FC">
        <w:t>suspend collective agreement</w:t>
      </w:r>
      <w:r w:rsidR="00FA6B99">
        <w:t>s</w:t>
      </w:r>
      <w:r w:rsidR="00154AB1">
        <w:t>.</w:t>
      </w:r>
      <w:r w:rsidR="00B828B0">
        <w:t xml:space="preserve"> </w:t>
      </w:r>
    </w:p>
    <w:p w14:paraId="1AA65AC8" w14:textId="27034828" w:rsidR="003F1874" w:rsidRDefault="004A59F4" w:rsidP="003F1874">
      <w:pPr>
        <w:jc w:val="both"/>
        <w:rPr>
          <w:iCs/>
        </w:rPr>
      </w:pPr>
      <w:r>
        <w:rPr>
          <w:iCs/>
        </w:rPr>
        <w:t>We must ensure that in post-corona times,</w:t>
      </w:r>
      <w:r w:rsidR="00B828B0">
        <w:rPr>
          <w:iCs/>
        </w:rPr>
        <w:t xml:space="preserve"> </w:t>
      </w:r>
      <w:r>
        <w:rPr>
          <w:iCs/>
        </w:rPr>
        <w:t>work</w:t>
      </w:r>
      <w:r w:rsidR="00B828B0">
        <w:rPr>
          <w:iCs/>
        </w:rPr>
        <w:t xml:space="preserve"> regulations, working conditions, collective agreements</w:t>
      </w:r>
      <w:r>
        <w:rPr>
          <w:iCs/>
        </w:rPr>
        <w:t xml:space="preserve">, </w:t>
      </w:r>
      <w:r w:rsidR="00B828B0">
        <w:rPr>
          <w:iCs/>
        </w:rPr>
        <w:t>individual employment contracts</w:t>
      </w:r>
      <w:r>
        <w:rPr>
          <w:iCs/>
        </w:rPr>
        <w:t xml:space="preserve">, </w:t>
      </w:r>
      <w:r w:rsidR="000F678F" w:rsidRPr="00701356">
        <w:rPr>
          <w:iCs/>
        </w:rPr>
        <w:t>and</w:t>
      </w:r>
      <w:r w:rsidR="000F678F">
        <w:rPr>
          <w:iCs/>
        </w:rPr>
        <w:t xml:space="preserve"> </w:t>
      </w:r>
      <w:r>
        <w:rPr>
          <w:iCs/>
        </w:rPr>
        <w:t>wages will remain as before</w:t>
      </w:r>
      <w:r w:rsidR="00C75334">
        <w:rPr>
          <w:iCs/>
        </w:rPr>
        <w:t xml:space="preserve"> or even strengthened.</w:t>
      </w:r>
      <w:r w:rsidR="003F1874">
        <w:rPr>
          <w:iCs/>
        </w:rPr>
        <w:t xml:space="preserve"> </w:t>
      </w:r>
    </w:p>
    <w:p w14:paraId="29B3DED2" w14:textId="08E77800" w:rsidR="001705FC" w:rsidRDefault="003F1874" w:rsidP="00432E98">
      <w:pPr>
        <w:jc w:val="both"/>
      </w:pPr>
      <w:r>
        <w:t xml:space="preserve">Only with strong and </w:t>
      </w:r>
      <w:r w:rsidR="00356594">
        <w:t>active trade</w:t>
      </w:r>
      <w:r>
        <w:t xml:space="preserve"> unions</w:t>
      </w:r>
      <w:r w:rsidR="004A59F4">
        <w:t xml:space="preserve">, </w:t>
      </w:r>
      <w:r w:rsidR="000A2943" w:rsidRPr="00701356">
        <w:t>ca</w:t>
      </w:r>
      <w:r w:rsidR="000A2943">
        <w:t xml:space="preserve">n </w:t>
      </w:r>
      <w:r w:rsidR="004A59F4">
        <w:t>we</w:t>
      </w:r>
      <w:r>
        <w:t xml:space="preserve"> successfully fight for workers´ health, income, jobs and our industries all over Europe.</w:t>
      </w:r>
    </w:p>
    <w:p w14:paraId="23F38B40" w14:textId="19529BC5" w:rsidR="00BE05FF" w:rsidRPr="00456D67" w:rsidRDefault="00346FA8" w:rsidP="00432E98">
      <w:pPr>
        <w:jc w:val="both"/>
        <w:rPr>
          <w:b/>
          <w:bCs/>
        </w:rPr>
      </w:pPr>
      <w:r w:rsidRPr="00946920">
        <w:rPr>
          <w:b/>
          <w:bCs/>
        </w:rPr>
        <w:t xml:space="preserve">This is the right </w:t>
      </w:r>
      <w:r w:rsidR="001F4033" w:rsidRPr="00946920">
        <w:rPr>
          <w:b/>
          <w:bCs/>
        </w:rPr>
        <w:t xml:space="preserve">time to prepare </w:t>
      </w:r>
      <w:r w:rsidR="00063629" w:rsidRPr="00946920">
        <w:rPr>
          <w:b/>
          <w:bCs/>
        </w:rPr>
        <w:t xml:space="preserve">for organising </w:t>
      </w:r>
      <w:r w:rsidR="00162744" w:rsidRPr="00946920">
        <w:rPr>
          <w:b/>
          <w:bCs/>
        </w:rPr>
        <w:t>and</w:t>
      </w:r>
      <w:r w:rsidR="00063629" w:rsidRPr="00946920">
        <w:rPr>
          <w:b/>
          <w:bCs/>
        </w:rPr>
        <w:t xml:space="preserve"> recruiting workers</w:t>
      </w:r>
      <w:r w:rsidR="00162744" w:rsidRPr="00946920">
        <w:rPr>
          <w:b/>
          <w:bCs/>
        </w:rPr>
        <w:t xml:space="preserve"> while activating and retaining members</w:t>
      </w:r>
      <w:r w:rsidR="00FA6B99">
        <w:rPr>
          <w:b/>
          <w:bCs/>
        </w:rPr>
        <w:t>!</w:t>
      </w:r>
    </w:p>
    <w:p w14:paraId="27584B4F" w14:textId="73DDDC02" w:rsidR="00DE01FA" w:rsidRDefault="00DE01FA" w:rsidP="00DE01FA">
      <w:pPr>
        <w:suppressAutoHyphens/>
        <w:spacing w:after="120" w:line="276" w:lineRule="auto"/>
        <w:jc w:val="both"/>
      </w:pPr>
      <w:r w:rsidRPr="00DE01FA">
        <w:rPr>
          <w:b/>
          <w:bCs/>
        </w:rPr>
        <w:t xml:space="preserve"> </w:t>
      </w:r>
      <w:r w:rsidR="004A59F4">
        <w:rPr>
          <w:b/>
          <w:bCs/>
        </w:rPr>
        <w:t xml:space="preserve">The </w:t>
      </w:r>
      <w:r w:rsidRPr="00DE01FA">
        <w:rPr>
          <w:b/>
          <w:bCs/>
        </w:rPr>
        <w:t xml:space="preserve">key recommendations </w:t>
      </w:r>
      <w:r w:rsidR="004A59F4">
        <w:rPr>
          <w:b/>
          <w:bCs/>
        </w:rPr>
        <w:t xml:space="preserve">from the BTUP Task </w:t>
      </w:r>
      <w:r w:rsidR="00C75334">
        <w:rPr>
          <w:b/>
          <w:bCs/>
        </w:rPr>
        <w:t>Force remain</w:t>
      </w:r>
      <w:r w:rsidR="004A59F4">
        <w:rPr>
          <w:b/>
          <w:bCs/>
        </w:rPr>
        <w:t xml:space="preserve"> the same as before</w:t>
      </w:r>
      <w:r>
        <w:t>:</w:t>
      </w:r>
    </w:p>
    <w:p w14:paraId="72624737" w14:textId="033B5782" w:rsidR="00CF2B5D" w:rsidRPr="00CF2B5D" w:rsidRDefault="00CF2B5D" w:rsidP="00BE05FF">
      <w:pPr>
        <w:numPr>
          <w:ilvl w:val="0"/>
          <w:numId w:val="2"/>
        </w:numPr>
      </w:pPr>
      <w:r w:rsidRPr="00CF2B5D">
        <w:t xml:space="preserve"> </w:t>
      </w:r>
      <w:r w:rsidR="004A59F4">
        <w:t>O</w:t>
      </w:r>
      <w:r w:rsidRPr="00CF2B5D">
        <w:t xml:space="preserve">rganising </w:t>
      </w:r>
      <w:r w:rsidR="00346FA8" w:rsidRPr="00346FA8">
        <w:t xml:space="preserve">for </w:t>
      </w:r>
      <w:r w:rsidR="004A59F4">
        <w:t xml:space="preserve">a stronger </w:t>
      </w:r>
      <w:r w:rsidR="00346FA8" w:rsidRPr="00346FA8">
        <w:t>collective bargaining</w:t>
      </w:r>
      <w:r w:rsidR="00346FA8">
        <w:t xml:space="preserve"> </w:t>
      </w:r>
      <w:r w:rsidR="004A59F4">
        <w:t>position</w:t>
      </w:r>
    </w:p>
    <w:p w14:paraId="707737AD" w14:textId="19909E4C" w:rsidR="00CF2B5D" w:rsidRPr="00CF2B5D" w:rsidRDefault="00CF2B5D" w:rsidP="004E0F3D">
      <w:pPr>
        <w:numPr>
          <w:ilvl w:val="0"/>
          <w:numId w:val="2"/>
        </w:numPr>
      </w:pPr>
      <w:r w:rsidRPr="00CF2B5D">
        <w:t>Establish an organising culture</w:t>
      </w:r>
    </w:p>
    <w:p w14:paraId="18CFB578" w14:textId="747000D4" w:rsidR="00CF2B5D" w:rsidRPr="00CF2B5D" w:rsidRDefault="00CF2B5D" w:rsidP="00BE05FF">
      <w:pPr>
        <w:numPr>
          <w:ilvl w:val="0"/>
          <w:numId w:val="2"/>
        </w:numPr>
      </w:pPr>
      <w:r w:rsidRPr="00CF2B5D">
        <w:t>Identify and train organisers</w:t>
      </w:r>
    </w:p>
    <w:p w14:paraId="6078E234" w14:textId="196343F5" w:rsidR="00025969" w:rsidRDefault="00CF2B5D" w:rsidP="00456D67">
      <w:pPr>
        <w:numPr>
          <w:ilvl w:val="0"/>
          <w:numId w:val="2"/>
        </w:numPr>
      </w:pPr>
      <w:r w:rsidRPr="00CF2B5D">
        <w:t xml:space="preserve">Build </w:t>
      </w:r>
      <w:r w:rsidR="00EE4029">
        <w:t>organising</w:t>
      </w:r>
      <w:r w:rsidRPr="00CF2B5D">
        <w:t xml:space="preserve"> campaign</w:t>
      </w:r>
      <w:r w:rsidR="00EE4029">
        <w:t>s</w:t>
      </w:r>
    </w:p>
    <w:p w14:paraId="6746791E" w14:textId="1D529B44" w:rsidR="00025969" w:rsidRDefault="00456D67" w:rsidP="00B828B0">
      <w:pPr>
        <w:jc w:val="both"/>
      </w:pPr>
      <w:r>
        <w:t>In times of physical distancing, short</w:t>
      </w:r>
      <w:r w:rsidR="008442C2">
        <w:t>-</w:t>
      </w:r>
      <w:r>
        <w:t>term work</w:t>
      </w:r>
      <w:r w:rsidR="00394328">
        <w:t>,</w:t>
      </w:r>
      <w:r>
        <w:t xml:space="preserve"> and work</w:t>
      </w:r>
      <w:r w:rsidR="00F62721">
        <w:t>ing</w:t>
      </w:r>
      <w:r>
        <w:t xml:space="preserve"> from home</w:t>
      </w:r>
      <w:r w:rsidR="00FF6AED">
        <w:t>,</w:t>
      </w:r>
      <w:r>
        <w:t xml:space="preserve"> </w:t>
      </w:r>
      <w:r w:rsidR="00025969">
        <w:t>the methods of building trade union power</w:t>
      </w:r>
      <w:r>
        <w:t xml:space="preserve"> need to be </w:t>
      </w:r>
      <w:r w:rsidR="004F4EEC">
        <w:t>ad</w:t>
      </w:r>
      <w:r w:rsidR="0010030E">
        <w:t>a</w:t>
      </w:r>
      <w:r w:rsidR="004F4EEC">
        <w:t>pted</w:t>
      </w:r>
      <w:r>
        <w:t xml:space="preserve"> accordingly. </w:t>
      </w:r>
    </w:p>
    <w:p w14:paraId="051B3EA6" w14:textId="013F099A" w:rsidR="00356594" w:rsidRDefault="00356594" w:rsidP="00B828B0">
      <w:pPr>
        <w:jc w:val="both"/>
      </w:pPr>
    </w:p>
    <w:p w14:paraId="6A5FFB43" w14:textId="7F371A85" w:rsidR="00356594" w:rsidRDefault="00356594" w:rsidP="00B828B0">
      <w:pPr>
        <w:jc w:val="both"/>
      </w:pPr>
    </w:p>
    <w:p w14:paraId="00015C2D" w14:textId="77777777" w:rsidR="00356594" w:rsidRDefault="00356594" w:rsidP="00B828B0">
      <w:pPr>
        <w:jc w:val="both"/>
      </w:pPr>
    </w:p>
    <w:p w14:paraId="5186BCCE" w14:textId="214E3303" w:rsidR="00025969" w:rsidRPr="00025969" w:rsidRDefault="004F4EEC" w:rsidP="00B828B0">
      <w:pPr>
        <w:jc w:val="both"/>
        <w:rPr>
          <w:b/>
          <w:bCs/>
        </w:rPr>
      </w:pPr>
      <w:r w:rsidRPr="00025969">
        <w:rPr>
          <w:b/>
          <w:bCs/>
        </w:rPr>
        <w:lastRenderedPageBreak/>
        <w:t xml:space="preserve"> </w:t>
      </w:r>
      <w:r w:rsidR="004A59F4">
        <w:rPr>
          <w:b/>
          <w:bCs/>
        </w:rPr>
        <w:t>O</w:t>
      </w:r>
      <w:r w:rsidRPr="00025969">
        <w:rPr>
          <w:b/>
          <w:bCs/>
        </w:rPr>
        <w:t>rganising gets support from digital organising</w:t>
      </w:r>
      <w:r w:rsidR="00025969" w:rsidRPr="00025969">
        <w:rPr>
          <w:b/>
          <w:bCs/>
        </w:rPr>
        <w:t>!</w:t>
      </w:r>
    </w:p>
    <w:p w14:paraId="38D55D8A" w14:textId="1936A247" w:rsidR="00B828B0" w:rsidRDefault="00456D67" w:rsidP="00B828B0">
      <w:pPr>
        <w:jc w:val="both"/>
      </w:pPr>
      <w:r>
        <w:t>Here we summari</w:t>
      </w:r>
      <w:r w:rsidR="00025969">
        <w:t>s</w:t>
      </w:r>
      <w:r>
        <w:t xml:space="preserve">e some </w:t>
      </w:r>
      <w:r w:rsidRPr="00025969">
        <w:rPr>
          <w:b/>
          <w:bCs/>
        </w:rPr>
        <w:t>hints and tips</w:t>
      </w:r>
      <w:r>
        <w:t xml:space="preserve">, </w:t>
      </w:r>
      <w:r w:rsidR="00025969">
        <w:t>which ha</w:t>
      </w:r>
      <w:r w:rsidR="00E2454B">
        <w:t>ve</w:t>
      </w:r>
      <w:r w:rsidR="00025969">
        <w:t xml:space="preserve"> contributed to positive results</w:t>
      </w:r>
      <w:r>
        <w:t xml:space="preserve"> in recent </w:t>
      </w:r>
      <w:r w:rsidR="004F4EEC">
        <w:t>organising</w:t>
      </w:r>
      <w:r>
        <w:t xml:space="preserve"> and recruitment campaigns</w:t>
      </w:r>
      <w:r w:rsidR="00025969">
        <w:t xml:space="preserve"> of affiliate</w:t>
      </w:r>
      <w:r w:rsidR="004A59F4">
        <w:t>d organisations</w:t>
      </w:r>
      <w:r>
        <w:t xml:space="preserve">. </w:t>
      </w:r>
      <w:r w:rsidR="00C2092C">
        <w:t>W</w:t>
      </w:r>
      <w:r w:rsidR="00B828B0">
        <w:t xml:space="preserve">e </w:t>
      </w:r>
      <w:r w:rsidR="00C2092C">
        <w:t>kindly present these</w:t>
      </w:r>
      <w:r w:rsidR="00B828B0">
        <w:t xml:space="preserve"> </w:t>
      </w:r>
      <w:r w:rsidR="00C2092C">
        <w:t xml:space="preserve">for building trade union power in </w:t>
      </w:r>
      <w:r w:rsidR="00B828B0">
        <w:t xml:space="preserve">times of digital organising and for preparing building stronger unions in post-corona times: </w:t>
      </w:r>
    </w:p>
    <w:p w14:paraId="04C71157" w14:textId="114230B4" w:rsidR="008E305B" w:rsidRDefault="00EA3BB3" w:rsidP="003B0F5A">
      <w:pPr>
        <w:pStyle w:val="ListParagraph"/>
        <w:numPr>
          <w:ilvl w:val="0"/>
          <w:numId w:val="1"/>
        </w:numPr>
        <w:spacing w:before="120" w:after="120"/>
        <w:ind w:left="870"/>
        <w:jc w:val="both"/>
        <w:rPr>
          <w:bCs/>
        </w:rPr>
      </w:pPr>
      <w:r w:rsidRPr="00FA696C">
        <w:rPr>
          <w:b/>
        </w:rPr>
        <w:t xml:space="preserve"> </w:t>
      </w:r>
      <w:r w:rsidR="00FA6B99">
        <w:rPr>
          <w:b/>
        </w:rPr>
        <w:t xml:space="preserve">Create a </w:t>
      </w:r>
      <w:r w:rsidR="004F4905">
        <w:rPr>
          <w:b/>
        </w:rPr>
        <w:t>g</w:t>
      </w:r>
      <w:r w:rsidRPr="00FA696C">
        <w:rPr>
          <w:b/>
        </w:rPr>
        <w:t>ood database</w:t>
      </w:r>
      <w:r>
        <w:rPr>
          <w:bCs/>
        </w:rPr>
        <w:t xml:space="preserve">: </w:t>
      </w:r>
      <w:r w:rsidR="002C5E9E" w:rsidRPr="002C5E9E">
        <w:rPr>
          <w:bCs/>
        </w:rPr>
        <w:t xml:space="preserve">Every organising campaign needs a good database </w:t>
      </w:r>
      <w:r w:rsidR="008E305B">
        <w:rPr>
          <w:bCs/>
        </w:rPr>
        <w:t xml:space="preserve">with </w:t>
      </w:r>
      <w:r w:rsidR="002C5E9E" w:rsidRPr="002C5E9E">
        <w:rPr>
          <w:bCs/>
        </w:rPr>
        <w:t xml:space="preserve">contact data. </w:t>
      </w:r>
      <w:r w:rsidR="008E305B">
        <w:rPr>
          <w:bCs/>
        </w:rPr>
        <w:t xml:space="preserve">The Trade Union </w:t>
      </w:r>
      <w:r>
        <w:rPr>
          <w:bCs/>
        </w:rPr>
        <w:t>organisers</w:t>
      </w:r>
      <w:r w:rsidR="008E305B">
        <w:rPr>
          <w:bCs/>
        </w:rPr>
        <w:t xml:space="preserve">/activists </w:t>
      </w:r>
      <w:r w:rsidR="00A633D4">
        <w:rPr>
          <w:bCs/>
        </w:rPr>
        <w:t>can</w:t>
      </w:r>
      <w:r w:rsidR="008E305B">
        <w:rPr>
          <w:bCs/>
        </w:rPr>
        <w:t xml:space="preserve"> use the time of </w:t>
      </w:r>
      <w:r w:rsidR="00360DE2">
        <w:rPr>
          <w:bCs/>
        </w:rPr>
        <w:t>lockdown to</w:t>
      </w:r>
      <w:r w:rsidR="00A633D4">
        <w:rPr>
          <w:bCs/>
        </w:rPr>
        <w:t xml:space="preserve"> </w:t>
      </w:r>
      <w:r w:rsidR="008E305B">
        <w:rPr>
          <w:bCs/>
        </w:rPr>
        <w:t>contact worker</w:t>
      </w:r>
      <w:r w:rsidR="00E61991">
        <w:rPr>
          <w:bCs/>
        </w:rPr>
        <w:t>s</w:t>
      </w:r>
      <w:r w:rsidR="008E305B">
        <w:rPr>
          <w:bCs/>
        </w:rPr>
        <w:t xml:space="preserve"> directly by phone or other </w:t>
      </w:r>
      <w:r w:rsidR="00E61991">
        <w:rPr>
          <w:bCs/>
        </w:rPr>
        <w:t xml:space="preserve">digital </w:t>
      </w:r>
      <w:r w:rsidR="008E305B">
        <w:rPr>
          <w:bCs/>
        </w:rPr>
        <w:t>communication tools.</w:t>
      </w:r>
      <w:r w:rsidR="00821981">
        <w:rPr>
          <w:bCs/>
        </w:rPr>
        <w:t xml:space="preserve"> </w:t>
      </w:r>
    </w:p>
    <w:p w14:paraId="0231516C" w14:textId="465936A0" w:rsidR="00FA696C" w:rsidRDefault="00FA6B99" w:rsidP="003B0F5A">
      <w:pPr>
        <w:pStyle w:val="ListParagraph"/>
        <w:numPr>
          <w:ilvl w:val="0"/>
          <w:numId w:val="1"/>
        </w:numPr>
        <w:spacing w:before="120" w:after="120" w:line="276" w:lineRule="auto"/>
        <w:ind w:left="870"/>
        <w:jc w:val="both"/>
        <w:rPr>
          <w:bCs/>
        </w:rPr>
      </w:pPr>
      <w:r>
        <w:rPr>
          <w:b/>
        </w:rPr>
        <w:t>Form a</w:t>
      </w:r>
      <w:r w:rsidR="004F4905">
        <w:rPr>
          <w:b/>
        </w:rPr>
        <w:t xml:space="preserve"> compelling</w:t>
      </w:r>
      <w:r w:rsidR="00EA3BB3" w:rsidRPr="00FA696C">
        <w:rPr>
          <w:b/>
        </w:rPr>
        <w:t xml:space="preserve"> narrative</w:t>
      </w:r>
      <w:r w:rsidR="00FA696C">
        <w:rPr>
          <w:bCs/>
        </w:rPr>
        <w:t>:</w:t>
      </w:r>
      <w:r w:rsidR="00EA3BB3">
        <w:rPr>
          <w:bCs/>
        </w:rPr>
        <w:t xml:space="preserve"> </w:t>
      </w:r>
      <w:r w:rsidR="008E305B" w:rsidRPr="002C5E9E">
        <w:rPr>
          <w:bCs/>
        </w:rPr>
        <w:t xml:space="preserve">It is important to anticipate the needs of workers, when </w:t>
      </w:r>
      <w:r w:rsidR="00821981">
        <w:rPr>
          <w:bCs/>
        </w:rPr>
        <w:t>talking</w:t>
      </w:r>
      <w:r w:rsidR="008E305B" w:rsidRPr="002C5E9E">
        <w:rPr>
          <w:bCs/>
        </w:rPr>
        <w:t xml:space="preserve"> to them.</w:t>
      </w:r>
      <w:r w:rsidR="00A633D4">
        <w:rPr>
          <w:bCs/>
        </w:rPr>
        <w:t xml:space="preserve"> </w:t>
      </w:r>
      <w:r w:rsidR="00A569A9">
        <w:rPr>
          <w:bCs/>
        </w:rPr>
        <w:t xml:space="preserve">Turn the fear of </w:t>
      </w:r>
      <w:r w:rsidR="00C2092C">
        <w:rPr>
          <w:bCs/>
        </w:rPr>
        <w:t>individual</w:t>
      </w:r>
      <w:r w:rsidR="00A633D4">
        <w:rPr>
          <w:bCs/>
        </w:rPr>
        <w:t xml:space="preserve"> worker</w:t>
      </w:r>
      <w:r w:rsidR="00A569A9">
        <w:rPr>
          <w:bCs/>
        </w:rPr>
        <w:t>s into a collective power source</w:t>
      </w:r>
      <w:r w:rsidR="00256B0F">
        <w:rPr>
          <w:bCs/>
        </w:rPr>
        <w:t>.</w:t>
      </w:r>
    </w:p>
    <w:p w14:paraId="733E3D9A" w14:textId="490A255F" w:rsidR="008E305B" w:rsidRPr="002C5E9E" w:rsidRDefault="00FA6B99" w:rsidP="003B0F5A">
      <w:pPr>
        <w:pStyle w:val="ListParagraph"/>
        <w:numPr>
          <w:ilvl w:val="0"/>
          <w:numId w:val="1"/>
        </w:numPr>
        <w:spacing w:before="120" w:after="120" w:line="276" w:lineRule="auto"/>
        <w:ind w:left="870"/>
        <w:jc w:val="both"/>
        <w:rPr>
          <w:bCs/>
        </w:rPr>
      </w:pPr>
      <w:r>
        <w:rPr>
          <w:b/>
        </w:rPr>
        <w:t>Communicat</w:t>
      </w:r>
      <w:r w:rsidR="00C2092C">
        <w:rPr>
          <w:b/>
        </w:rPr>
        <w:t>e</w:t>
      </w:r>
      <w:r>
        <w:rPr>
          <w:b/>
        </w:rPr>
        <w:t xml:space="preserve"> through strategic listening</w:t>
      </w:r>
      <w:r w:rsidR="00FA696C">
        <w:rPr>
          <w:bCs/>
        </w:rPr>
        <w:t xml:space="preserve">: </w:t>
      </w:r>
      <w:r w:rsidR="004F4905">
        <w:rPr>
          <w:bCs/>
        </w:rPr>
        <w:t xml:space="preserve">Strategic listening </w:t>
      </w:r>
      <w:r w:rsidR="00A633D4">
        <w:rPr>
          <w:bCs/>
        </w:rPr>
        <w:t xml:space="preserve">means </w:t>
      </w:r>
      <w:r w:rsidR="00A633D4" w:rsidRPr="00A633D4">
        <w:rPr>
          <w:bCs/>
        </w:rPr>
        <w:t>to build a connection</w:t>
      </w:r>
      <w:r w:rsidR="00A633D4">
        <w:rPr>
          <w:bCs/>
        </w:rPr>
        <w:t>, to help workers finding out on their own, that only collective action leads to a better working live. Prepare</w:t>
      </w:r>
      <w:r w:rsidR="008E305B" w:rsidRPr="002C5E9E">
        <w:rPr>
          <w:bCs/>
        </w:rPr>
        <w:t xml:space="preserve"> your </w:t>
      </w:r>
      <w:r w:rsidR="00E61991">
        <w:rPr>
          <w:bCs/>
        </w:rPr>
        <w:t xml:space="preserve">organising and </w:t>
      </w:r>
      <w:r w:rsidR="008E305B" w:rsidRPr="002C5E9E">
        <w:rPr>
          <w:bCs/>
        </w:rPr>
        <w:t>communication team with specific training</w:t>
      </w:r>
      <w:r w:rsidR="00FA696C">
        <w:rPr>
          <w:bCs/>
        </w:rPr>
        <w:t xml:space="preserve"> and psychological guidance</w:t>
      </w:r>
      <w:r w:rsidR="008E305B" w:rsidRPr="002C5E9E">
        <w:rPr>
          <w:bCs/>
        </w:rPr>
        <w:t>.</w:t>
      </w:r>
    </w:p>
    <w:p w14:paraId="36267009" w14:textId="48B8AD34" w:rsidR="008E305B" w:rsidRPr="008E305B" w:rsidRDefault="00FA6B99" w:rsidP="003B0F5A">
      <w:pPr>
        <w:pStyle w:val="ListParagraph"/>
        <w:numPr>
          <w:ilvl w:val="0"/>
          <w:numId w:val="1"/>
        </w:numPr>
        <w:spacing w:before="120" w:after="120"/>
        <w:ind w:left="870"/>
        <w:jc w:val="both"/>
        <w:rPr>
          <w:bCs/>
        </w:rPr>
      </w:pPr>
      <w:r>
        <w:rPr>
          <w:b/>
        </w:rPr>
        <w:t xml:space="preserve">Identify </w:t>
      </w:r>
      <w:r w:rsidR="004A59F4">
        <w:rPr>
          <w:b/>
        </w:rPr>
        <w:t xml:space="preserve">a </w:t>
      </w:r>
      <w:r>
        <w:rPr>
          <w:b/>
        </w:rPr>
        <w:t>good</w:t>
      </w:r>
      <w:r w:rsidR="004F4905">
        <w:rPr>
          <w:b/>
        </w:rPr>
        <w:t xml:space="preserve"> </w:t>
      </w:r>
      <w:r w:rsidR="00FA696C" w:rsidRPr="00FA696C">
        <w:rPr>
          <w:b/>
        </w:rPr>
        <w:t>is</w:t>
      </w:r>
      <w:r w:rsidR="00FA696C" w:rsidRPr="00821981">
        <w:rPr>
          <w:b/>
        </w:rPr>
        <w:t>sue</w:t>
      </w:r>
      <w:r w:rsidR="00821981">
        <w:rPr>
          <w:bCs/>
        </w:rPr>
        <w:t>:</w:t>
      </w:r>
      <w:r w:rsidR="00FA696C">
        <w:rPr>
          <w:bCs/>
        </w:rPr>
        <w:t xml:space="preserve"> </w:t>
      </w:r>
      <w:r w:rsidR="002C5E9E" w:rsidRPr="002C5E9E">
        <w:rPr>
          <w:bCs/>
        </w:rPr>
        <w:t xml:space="preserve">The issues of a campaign need to meet the concrete demands of the </w:t>
      </w:r>
      <w:r w:rsidR="00073B7C" w:rsidRPr="002C5E9E">
        <w:rPr>
          <w:bCs/>
        </w:rPr>
        <w:t>workers</w:t>
      </w:r>
      <w:r w:rsidR="00073B7C">
        <w:rPr>
          <w:bCs/>
        </w:rPr>
        <w:t>;</w:t>
      </w:r>
      <w:r w:rsidR="00EA3BB3">
        <w:rPr>
          <w:bCs/>
        </w:rPr>
        <w:t xml:space="preserve"> </w:t>
      </w:r>
      <w:r w:rsidR="00D60DD2">
        <w:rPr>
          <w:bCs/>
        </w:rPr>
        <w:t>thus,</w:t>
      </w:r>
      <w:r w:rsidR="00EA3BB3">
        <w:rPr>
          <w:bCs/>
        </w:rPr>
        <w:t xml:space="preserve"> </w:t>
      </w:r>
      <w:r w:rsidR="001F30CB">
        <w:rPr>
          <w:bCs/>
        </w:rPr>
        <w:t>they</w:t>
      </w:r>
      <w:r w:rsidR="00346FA8">
        <w:rPr>
          <w:bCs/>
        </w:rPr>
        <w:t xml:space="preserve"> </w:t>
      </w:r>
      <w:r w:rsidR="00EA3BB3">
        <w:rPr>
          <w:bCs/>
        </w:rPr>
        <w:t xml:space="preserve">must </w:t>
      </w:r>
      <w:r w:rsidR="00EA3BB3" w:rsidRPr="008E305B">
        <w:rPr>
          <w:bCs/>
        </w:rPr>
        <w:t>come from the workers</w:t>
      </w:r>
      <w:r w:rsidR="002C5E9E" w:rsidRPr="002C5E9E">
        <w:rPr>
          <w:bCs/>
        </w:rPr>
        <w:t>.</w:t>
      </w:r>
      <w:r w:rsidR="008E305B" w:rsidRPr="008E305B">
        <w:rPr>
          <w:bCs/>
        </w:rPr>
        <w:t xml:space="preserve"> </w:t>
      </w:r>
      <w:r w:rsidR="008E305B">
        <w:rPr>
          <w:bCs/>
        </w:rPr>
        <w:t>In time</w:t>
      </w:r>
      <w:r w:rsidR="00346FA8">
        <w:rPr>
          <w:bCs/>
        </w:rPr>
        <w:t xml:space="preserve">s </w:t>
      </w:r>
      <w:r w:rsidR="008E305B">
        <w:rPr>
          <w:bCs/>
        </w:rPr>
        <w:t>of lockdown</w:t>
      </w:r>
      <w:r w:rsidR="00346FA8">
        <w:rPr>
          <w:bCs/>
        </w:rPr>
        <w:t xml:space="preserve">, </w:t>
      </w:r>
      <w:r w:rsidR="003D3F64">
        <w:rPr>
          <w:bCs/>
        </w:rPr>
        <w:t>teleworking,</w:t>
      </w:r>
      <w:r w:rsidR="008E305B">
        <w:rPr>
          <w:bCs/>
        </w:rPr>
        <w:t xml:space="preserve"> </w:t>
      </w:r>
      <w:r w:rsidR="00346FA8">
        <w:rPr>
          <w:bCs/>
        </w:rPr>
        <w:t>and physical distancing</w:t>
      </w:r>
      <w:r w:rsidR="00362902">
        <w:rPr>
          <w:bCs/>
        </w:rPr>
        <w:t>,</w:t>
      </w:r>
      <w:r w:rsidR="00346FA8">
        <w:rPr>
          <w:bCs/>
        </w:rPr>
        <w:t xml:space="preserve"> workers </w:t>
      </w:r>
      <w:r w:rsidR="008E305B">
        <w:rPr>
          <w:bCs/>
        </w:rPr>
        <w:t>feel insecure and are often missing information from the employer about their workplace</w:t>
      </w:r>
      <w:r w:rsidR="00821981">
        <w:rPr>
          <w:bCs/>
        </w:rPr>
        <w:t>. This can be a good starting point to approach workers.</w:t>
      </w:r>
    </w:p>
    <w:p w14:paraId="57BF8601" w14:textId="1A1F18F0" w:rsidR="00EA3BB3" w:rsidRPr="00FA696C" w:rsidRDefault="00FA6B99" w:rsidP="003B0F5A">
      <w:pPr>
        <w:pStyle w:val="ListParagraph"/>
        <w:numPr>
          <w:ilvl w:val="0"/>
          <w:numId w:val="1"/>
        </w:numPr>
        <w:spacing w:before="120" w:after="120"/>
        <w:ind w:left="870"/>
        <w:jc w:val="both"/>
        <w:rPr>
          <w:bCs/>
        </w:rPr>
      </w:pPr>
      <w:r>
        <w:rPr>
          <w:b/>
          <w:bCs/>
        </w:rPr>
        <w:t xml:space="preserve">Keep the </w:t>
      </w:r>
      <w:r w:rsidR="00FA696C" w:rsidRPr="00FA696C">
        <w:rPr>
          <w:b/>
          <w:bCs/>
        </w:rPr>
        <w:t>momentum</w:t>
      </w:r>
      <w:r w:rsidR="00FA696C">
        <w:t>: Use</w:t>
      </w:r>
      <w:r w:rsidR="00EA3BB3">
        <w:t xml:space="preserve"> </w:t>
      </w:r>
      <w:r w:rsidR="00EA3BB3">
        <w:rPr>
          <w:bCs/>
        </w:rPr>
        <w:t>p</w:t>
      </w:r>
      <w:r w:rsidR="00EA3BB3" w:rsidRPr="002C5E9E">
        <w:rPr>
          <w:bCs/>
        </w:rPr>
        <w:t xml:space="preserve">hone calls </w:t>
      </w:r>
      <w:r w:rsidR="00FA696C">
        <w:rPr>
          <w:bCs/>
        </w:rPr>
        <w:t>for</w:t>
      </w:r>
      <w:r w:rsidR="00EA3BB3" w:rsidRPr="002C5E9E">
        <w:rPr>
          <w:bCs/>
        </w:rPr>
        <w:t xml:space="preserve"> </w:t>
      </w:r>
      <w:r w:rsidR="00360DE2" w:rsidRPr="002C5E9E">
        <w:rPr>
          <w:bCs/>
        </w:rPr>
        <w:t>a period</w:t>
      </w:r>
      <w:r w:rsidR="00FA696C" w:rsidRPr="00FA696C">
        <w:t xml:space="preserve"> </w:t>
      </w:r>
      <w:r w:rsidR="00FA696C">
        <w:t>when you cannot meet in person</w:t>
      </w:r>
      <w:r w:rsidR="00EA3BB3">
        <w:rPr>
          <w:bCs/>
        </w:rPr>
        <w:t xml:space="preserve">. This might be </w:t>
      </w:r>
      <w:r w:rsidR="00EA3BB3" w:rsidRPr="002C5E9E">
        <w:rPr>
          <w:bCs/>
        </w:rPr>
        <w:t>difficult for many activists</w:t>
      </w:r>
      <w:r w:rsidR="00EA3BB3">
        <w:rPr>
          <w:bCs/>
        </w:rPr>
        <w:t xml:space="preserve"> without call-centre experience, but with some practise most of them can do it</w:t>
      </w:r>
      <w:r w:rsidR="00EA3BB3" w:rsidRPr="002C5E9E">
        <w:rPr>
          <w:bCs/>
        </w:rPr>
        <w:t xml:space="preserve">. </w:t>
      </w:r>
      <w:r w:rsidR="00E61991">
        <w:rPr>
          <w:bCs/>
        </w:rPr>
        <w:t>Organising</w:t>
      </w:r>
      <w:r w:rsidR="00FA696C" w:rsidRPr="002C5E9E">
        <w:rPr>
          <w:bCs/>
        </w:rPr>
        <w:t xml:space="preserve"> needs </w:t>
      </w:r>
      <w:r w:rsidR="00346FA8">
        <w:rPr>
          <w:bCs/>
        </w:rPr>
        <w:t>face-to-face</w:t>
      </w:r>
      <w:r w:rsidR="00FA696C" w:rsidRPr="002C5E9E">
        <w:rPr>
          <w:bCs/>
        </w:rPr>
        <w:t xml:space="preserve"> meetings</w:t>
      </w:r>
      <w:r w:rsidR="00346FA8">
        <w:rPr>
          <w:bCs/>
        </w:rPr>
        <w:t xml:space="preserve">, but digital meetings can </w:t>
      </w:r>
      <w:r w:rsidR="00E61991">
        <w:rPr>
          <w:bCs/>
        </w:rPr>
        <w:t>bridge</w:t>
      </w:r>
      <w:r w:rsidR="00346FA8">
        <w:rPr>
          <w:bCs/>
        </w:rPr>
        <w:t xml:space="preserve"> the period.</w:t>
      </w:r>
    </w:p>
    <w:p w14:paraId="2BC18893" w14:textId="17B87CD3" w:rsidR="00EA3BB3" w:rsidRPr="00346FA8" w:rsidRDefault="00FA6B99" w:rsidP="003B0F5A">
      <w:pPr>
        <w:pStyle w:val="ListParagraph"/>
        <w:numPr>
          <w:ilvl w:val="0"/>
          <w:numId w:val="1"/>
        </w:numPr>
        <w:spacing w:before="120" w:after="120" w:line="276" w:lineRule="auto"/>
        <w:ind w:left="870"/>
        <w:jc w:val="both"/>
        <w:rPr>
          <w:bCs/>
        </w:rPr>
      </w:pPr>
      <w:r>
        <w:rPr>
          <w:b/>
        </w:rPr>
        <w:t xml:space="preserve">Build </w:t>
      </w:r>
      <w:r w:rsidR="00FA696C" w:rsidRPr="00FA696C">
        <w:rPr>
          <w:b/>
        </w:rPr>
        <w:t>trust</w:t>
      </w:r>
      <w:r w:rsidR="00FA696C">
        <w:rPr>
          <w:bCs/>
        </w:rPr>
        <w:t xml:space="preserve">: </w:t>
      </w:r>
      <w:r w:rsidR="008E305B" w:rsidRPr="008E305B">
        <w:rPr>
          <w:bCs/>
        </w:rPr>
        <w:t xml:space="preserve">Retention of workers is an important topic for all trade union organisations. Trade unions must find solutions for keeping workers interested in unionisation. </w:t>
      </w:r>
      <w:r w:rsidR="00EA3BB3">
        <w:rPr>
          <w:bCs/>
        </w:rPr>
        <w:t xml:space="preserve">The best way is to </w:t>
      </w:r>
      <w:r w:rsidR="006A4BBB">
        <w:rPr>
          <w:bCs/>
        </w:rPr>
        <w:t>demonstrate</w:t>
      </w:r>
      <w:r w:rsidR="00EA3BB3">
        <w:rPr>
          <w:bCs/>
        </w:rPr>
        <w:t xml:space="preserve"> </w:t>
      </w:r>
      <w:r w:rsidR="00026719">
        <w:rPr>
          <w:bCs/>
        </w:rPr>
        <w:t xml:space="preserve">to </w:t>
      </w:r>
      <w:r w:rsidR="00360DE2">
        <w:rPr>
          <w:bCs/>
        </w:rPr>
        <w:t xml:space="preserve">workers </w:t>
      </w:r>
      <w:r w:rsidR="00360DE2" w:rsidRPr="008E305B">
        <w:rPr>
          <w:bCs/>
        </w:rPr>
        <w:t>that</w:t>
      </w:r>
      <w:r w:rsidR="00EA3BB3" w:rsidRPr="008E305B">
        <w:rPr>
          <w:bCs/>
        </w:rPr>
        <w:t xml:space="preserve"> they can solve </w:t>
      </w:r>
      <w:r w:rsidR="00EA3BB3">
        <w:rPr>
          <w:bCs/>
        </w:rPr>
        <w:t>problems</w:t>
      </w:r>
      <w:r w:rsidR="00EA3BB3" w:rsidRPr="008E305B">
        <w:rPr>
          <w:bCs/>
        </w:rPr>
        <w:t xml:space="preserve"> together</w:t>
      </w:r>
      <w:r w:rsidR="00E61991">
        <w:rPr>
          <w:bCs/>
        </w:rPr>
        <w:t>.</w:t>
      </w:r>
    </w:p>
    <w:p w14:paraId="7B63420B" w14:textId="7DA91960" w:rsidR="00FA6B99" w:rsidRPr="00356594" w:rsidRDefault="003B0F5A" w:rsidP="003B0F5A">
      <w:pPr>
        <w:spacing w:before="120" w:after="120" w:line="276" w:lineRule="auto"/>
      </w:pPr>
      <w:r>
        <w:t xml:space="preserve">Please visit our website for </w:t>
      </w:r>
      <w:r w:rsidR="004F4EEC">
        <w:t xml:space="preserve">hints and </w:t>
      </w:r>
      <w:r w:rsidR="00C2092C">
        <w:t>tips</w:t>
      </w:r>
      <w:r w:rsidR="004F4EEC">
        <w:t xml:space="preserve"> on </w:t>
      </w:r>
      <w:hyperlink r:id="rId7" w:history="1">
        <w:r w:rsidR="004F4EEC" w:rsidRPr="007D4651">
          <w:rPr>
            <w:rStyle w:val="Hyperlink"/>
          </w:rPr>
          <w:t>building trade union power</w:t>
        </w:r>
      </w:hyperlink>
      <w:r w:rsidR="004F4EEC">
        <w:t xml:space="preserve"> as well as </w:t>
      </w:r>
      <w:hyperlink r:id="rId8" w:history="1">
        <w:r w:rsidRPr="007D4651">
          <w:rPr>
            <w:rStyle w:val="Hyperlink"/>
          </w:rPr>
          <w:t>good examples</w:t>
        </w:r>
      </w:hyperlink>
      <w:r>
        <w:t xml:space="preserve"> of campaigns of our affiliates. </w:t>
      </w:r>
      <w:r w:rsidRPr="003B0F5A">
        <w:t xml:space="preserve">If your union is interested in getting </w:t>
      </w:r>
      <w:r w:rsidR="0000323F">
        <w:t>further</w:t>
      </w:r>
      <w:r w:rsidR="004F4EEC">
        <w:t xml:space="preserve"> </w:t>
      </w:r>
      <w:r w:rsidRPr="003B0F5A">
        <w:t>involved in organising please contact</w:t>
      </w:r>
      <w:r w:rsidR="0097471F">
        <w:t>:</w:t>
      </w:r>
      <w:r w:rsidRPr="003B0F5A">
        <w:t xml:space="preserve"> </w:t>
      </w:r>
      <w:r w:rsidR="006A4BBB">
        <w:t xml:space="preserve">Ildiko Krén, Policy Advisor industriAll Europe, </w:t>
      </w:r>
      <w:hyperlink r:id="rId9" w:history="1">
        <w:r w:rsidR="00360DE2" w:rsidRPr="00D2111E">
          <w:rPr>
            <w:rStyle w:val="Hyperlink"/>
          </w:rPr>
          <w:t>ildiko.kren@industriall-europe.eu</w:t>
        </w:r>
      </w:hyperlink>
      <w:r w:rsidR="00360DE2" w:rsidRPr="00356594">
        <w:t xml:space="preserve"> </w:t>
      </w:r>
    </w:p>
    <w:p w14:paraId="3BE2E1D9" w14:textId="09FF2112" w:rsidR="003B0F5A" w:rsidRDefault="003B0F5A" w:rsidP="003B0F5A">
      <w:pPr>
        <w:spacing w:before="120" w:after="120" w:line="276" w:lineRule="auto"/>
      </w:pPr>
    </w:p>
    <w:p w14:paraId="1F003B0B" w14:textId="3FAF8FF3" w:rsidR="00BA4A54" w:rsidRDefault="006A4BBB">
      <w:r>
        <w:t>Best regards,</w:t>
      </w:r>
    </w:p>
    <w:p w14:paraId="5195C213" w14:textId="2B0649DD" w:rsidR="003B0F5A" w:rsidRDefault="003B0F5A"/>
    <w:p w14:paraId="2B4C72DC" w14:textId="73F9A5E2" w:rsidR="004F4EEC" w:rsidRDefault="004F4EEC">
      <w:r>
        <w:t>Luc Triangle</w:t>
      </w:r>
    </w:p>
    <w:p w14:paraId="4B5DBEE5" w14:textId="51DA2A4C" w:rsidR="006A4BBB" w:rsidRPr="00701356" w:rsidRDefault="006A4BBB">
      <w:r>
        <w:t>General Secretary</w:t>
      </w:r>
    </w:p>
    <w:p w14:paraId="25DB383B" w14:textId="5EF92C82" w:rsidR="004F4EEC" w:rsidRDefault="004F4EEC"/>
    <w:sectPr w:rsidR="004F4EEC" w:rsidSect="00BB26F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9BF58" w14:textId="77777777" w:rsidR="00C9546D" w:rsidRDefault="00C9546D" w:rsidP="006B5CEE">
      <w:pPr>
        <w:spacing w:after="0" w:line="240" w:lineRule="auto"/>
      </w:pPr>
      <w:r>
        <w:separator/>
      </w:r>
    </w:p>
  </w:endnote>
  <w:endnote w:type="continuationSeparator" w:id="0">
    <w:p w14:paraId="038AE128" w14:textId="77777777" w:rsidR="00C9546D" w:rsidRDefault="00C9546D" w:rsidP="006B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0DAA5" w14:textId="77777777" w:rsidR="00C9546D" w:rsidRDefault="00C9546D" w:rsidP="006B5CEE">
      <w:pPr>
        <w:spacing w:after="0" w:line="240" w:lineRule="auto"/>
      </w:pPr>
      <w:r>
        <w:separator/>
      </w:r>
    </w:p>
  </w:footnote>
  <w:footnote w:type="continuationSeparator" w:id="0">
    <w:p w14:paraId="3FC8D595" w14:textId="77777777" w:rsidR="00C9546D" w:rsidRDefault="00C9546D" w:rsidP="006B5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89CCC" w14:textId="4FFE1F10" w:rsidR="006B5CEE" w:rsidRDefault="006B5CEE">
    <w:pPr>
      <w:pStyle w:val="Header"/>
    </w:pPr>
    <w:r>
      <w:rPr>
        <w:rFonts w:ascii="Verdana" w:hAnsi="Verdana"/>
        <w:b/>
        <w:noProof/>
        <w:color w:val="808080"/>
        <w:sz w:val="28"/>
        <w:szCs w:val="28"/>
        <w:lang w:val="fr-FR" w:eastAsia="fr-FR"/>
      </w:rPr>
      <w:drawing>
        <wp:anchor distT="0" distB="0" distL="114300" distR="114300" simplePos="0" relativeHeight="251659264" behindDoc="1" locked="0" layoutInCell="1" allowOverlap="1" wp14:anchorId="62FA81E7" wp14:editId="6823829E">
          <wp:simplePos x="0" y="0"/>
          <wp:positionH relativeFrom="column">
            <wp:posOffset>3790950</wp:posOffset>
          </wp:positionH>
          <wp:positionV relativeFrom="paragraph">
            <wp:posOffset>-306705</wp:posOffset>
          </wp:positionV>
          <wp:extent cx="2521585" cy="1190625"/>
          <wp:effectExtent l="0" t="0" r="0" b="9525"/>
          <wp:wrapNone/>
          <wp:docPr id="9" name="Picture 9" descr="O:\WSlade\Indus logo ART vect 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WSlade\Indus logo ART vect PANT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D5C61"/>
    <w:multiLevelType w:val="hybridMultilevel"/>
    <w:tmpl w:val="96F60784"/>
    <w:lvl w:ilvl="0" w:tplc="8ED4D9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CC3E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2F1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4C8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647C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8AE0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3CF7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32E9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1C76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02A5"/>
    <w:multiLevelType w:val="hybridMultilevel"/>
    <w:tmpl w:val="1990EC4E"/>
    <w:lvl w:ilvl="0" w:tplc="23C23EC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920998"/>
    <w:multiLevelType w:val="hybridMultilevel"/>
    <w:tmpl w:val="AFB68C7C"/>
    <w:lvl w:ilvl="0" w:tplc="28640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55265"/>
    <w:multiLevelType w:val="hybridMultilevel"/>
    <w:tmpl w:val="8D70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E32FA"/>
    <w:multiLevelType w:val="hybridMultilevel"/>
    <w:tmpl w:val="1CAEC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D6A77"/>
    <w:multiLevelType w:val="hybridMultilevel"/>
    <w:tmpl w:val="55AC35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3B7E78"/>
    <w:multiLevelType w:val="hybridMultilevel"/>
    <w:tmpl w:val="2F7C2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35187"/>
    <w:multiLevelType w:val="hybridMultilevel"/>
    <w:tmpl w:val="728C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651A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935AB"/>
    <w:multiLevelType w:val="hybridMultilevel"/>
    <w:tmpl w:val="A106D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32"/>
    <w:rsid w:val="0000323F"/>
    <w:rsid w:val="00025969"/>
    <w:rsid w:val="00026719"/>
    <w:rsid w:val="00055C06"/>
    <w:rsid w:val="00063629"/>
    <w:rsid w:val="00073B7C"/>
    <w:rsid w:val="000A2943"/>
    <w:rsid w:val="000F678F"/>
    <w:rsid w:val="0010030E"/>
    <w:rsid w:val="00125332"/>
    <w:rsid w:val="001366CA"/>
    <w:rsid w:val="00154AB1"/>
    <w:rsid w:val="00162744"/>
    <w:rsid w:val="001705FC"/>
    <w:rsid w:val="00173D4B"/>
    <w:rsid w:val="00177A4B"/>
    <w:rsid w:val="001A2C2B"/>
    <w:rsid w:val="001A4B76"/>
    <w:rsid w:val="001C23C3"/>
    <w:rsid w:val="001C446C"/>
    <w:rsid w:val="001F30CB"/>
    <w:rsid w:val="001F4033"/>
    <w:rsid w:val="00207F1F"/>
    <w:rsid w:val="00214281"/>
    <w:rsid w:val="00256B0F"/>
    <w:rsid w:val="00257AC1"/>
    <w:rsid w:val="00264EF9"/>
    <w:rsid w:val="00282E4D"/>
    <w:rsid w:val="002948BF"/>
    <w:rsid w:val="002C5E9E"/>
    <w:rsid w:val="003116F4"/>
    <w:rsid w:val="00325F94"/>
    <w:rsid w:val="003337AB"/>
    <w:rsid w:val="00346FA8"/>
    <w:rsid w:val="00356594"/>
    <w:rsid w:val="00360DE2"/>
    <w:rsid w:val="00362902"/>
    <w:rsid w:val="00362B44"/>
    <w:rsid w:val="00387CAC"/>
    <w:rsid w:val="003940C3"/>
    <w:rsid w:val="00394328"/>
    <w:rsid w:val="00396833"/>
    <w:rsid w:val="003A738F"/>
    <w:rsid w:val="003B0F5A"/>
    <w:rsid w:val="003D3F64"/>
    <w:rsid w:val="003F1874"/>
    <w:rsid w:val="00432E98"/>
    <w:rsid w:val="00456D67"/>
    <w:rsid w:val="004672EE"/>
    <w:rsid w:val="004A59F4"/>
    <w:rsid w:val="004A76B2"/>
    <w:rsid w:val="004E0763"/>
    <w:rsid w:val="004E0F3D"/>
    <w:rsid w:val="004F4130"/>
    <w:rsid w:val="004F4905"/>
    <w:rsid w:val="004F4EEC"/>
    <w:rsid w:val="0054625C"/>
    <w:rsid w:val="0054734A"/>
    <w:rsid w:val="005D6E88"/>
    <w:rsid w:val="00625532"/>
    <w:rsid w:val="00693425"/>
    <w:rsid w:val="006A3BBC"/>
    <w:rsid w:val="006A4BBB"/>
    <w:rsid w:val="006B5CEE"/>
    <w:rsid w:val="006E1B34"/>
    <w:rsid w:val="00701356"/>
    <w:rsid w:val="00723EC0"/>
    <w:rsid w:val="00725523"/>
    <w:rsid w:val="00760075"/>
    <w:rsid w:val="0078432D"/>
    <w:rsid w:val="0078610E"/>
    <w:rsid w:val="007D4651"/>
    <w:rsid w:val="007F2C0B"/>
    <w:rsid w:val="008211B4"/>
    <w:rsid w:val="00821981"/>
    <w:rsid w:val="008442C2"/>
    <w:rsid w:val="00852A0D"/>
    <w:rsid w:val="00855A36"/>
    <w:rsid w:val="0086400C"/>
    <w:rsid w:val="008E305B"/>
    <w:rsid w:val="009009FA"/>
    <w:rsid w:val="0092446D"/>
    <w:rsid w:val="009457AB"/>
    <w:rsid w:val="00946920"/>
    <w:rsid w:val="0095146B"/>
    <w:rsid w:val="0097471F"/>
    <w:rsid w:val="009B5428"/>
    <w:rsid w:val="00A000DE"/>
    <w:rsid w:val="00A06850"/>
    <w:rsid w:val="00A30294"/>
    <w:rsid w:val="00A43BE6"/>
    <w:rsid w:val="00A569A9"/>
    <w:rsid w:val="00A633D4"/>
    <w:rsid w:val="00A664C1"/>
    <w:rsid w:val="00AA2A20"/>
    <w:rsid w:val="00AB2906"/>
    <w:rsid w:val="00B12E39"/>
    <w:rsid w:val="00B26913"/>
    <w:rsid w:val="00B4637B"/>
    <w:rsid w:val="00B54A48"/>
    <w:rsid w:val="00B828B0"/>
    <w:rsid w:val="00BA4A54"/>
    <w:rsid w:val="00BB26F5"/>
    <w:rsid w:val="00BB68D5"/>
    <w:rsid w:val="00BC1AE7"/>
    <w:rsid w:val="00BD153E"/>
    <w:rsid w:val="00BE05FF"/>
    <w:rsid w:val="00BF1092"/>
    <w:rsid w:val="00C2092C"/>
    <w:rsid w:val="00C22F07"/>
    <w:rsid w:val="00C24A87"/>
    <w:rsid w:val="00C37019"/>
    <w:rsid w:val="00C43A69"/>
    <w:rsid w:val="00C75334"/>
    <w:rsid w:val="00C9546D"/>
    <w:rsid w:val="00CB42A6"/>
    <w:rsid w:val="00CF2B5D"/>
    <w:rsid w:val="00D44717"/>
    <w:rsid w:val="00D60DD2"/>
    <w:rsid w:val="00D67A51"/>
    <w:rsid w:val="00DA46B5"/>
    <w:rsid w:val="00DE01FA"/>
    <w:rsid w:val="00DF3FB3"/>
    <w:rsid w:val="00E154AC"/>
    <w:rsid w:val="00E2454B"/>
    <w:rsid w:val="00E57038"/>
    <w:rsid w:val="00E61991"/>
    <w:rsid w:val="00E75A4B"/>
    <w:rsid w:val="00EA3BB3"/>
    <w:rsid w:val="00ED4A81"/>
    <w:rsid w:val="00EE4029"/>
    <w:rsid w:val="00EE7B93"/>
    <w:rsid w:val="00F00E7B"/>
    <w:rsid w:val="00F55F60"/>
    <w:rsid w:val="00F62721"/>
    <w:rsid w:val="00F644FF"/>
    <w:rsid w:val="00FA696C"/>
    <w:rsid w:val="00FA6B99"/>
    <w:rsid w:val="00FE62DE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D349"/>
  <w15:chartTrackingRefBased/>
  <w15:docId w15:val="{C3E45E92-D4F6-4C8E-ACF2-C9518248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E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B5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CEE"/>
  </w:style>
  <w:style w:type="paragraph" w:styleId="Footer">
    <w:name w:val="footer"/>
    <w:basedOn w:val="Normal"/>
    <w:link w:val="FooterChar"/>
    <w:uiPriority w:val="99"/>
    <w:unhideWhenUsed/>
    <w:rsid w:val="006B5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CEE"/>
  </w:style>
  <w:style w:type="character" w:styleId="Hyperlink">
    <w:name w:val="Hyperlink"/>
    <w:basedOn w:val="DefaultParagraphFont"/>
    <w:uiPriority w:val="99"/>
    <w:unhideWhenUsed/>
    <w:rsid w:val="003B0F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F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0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62B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46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0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2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4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6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8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industriall-europe.eu/p/btup-best-pract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.industriall-europe.eu/p/building-trade-union-pow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ldiko.kren@industriall-europ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Krén</dc:creator>
  <cp:keywords/>
  <dc:description/>
  <cp:lastModifiedBy>Marie-Odile Martiat</cp:lastModifiedBy>
  <cp:revision>2</cp:revision>
  <dcterms:created xsi:type="dcterms:W3CDTF">2020-05-29T10:29:00Z</dcterms:created>
  <dcterms:modified xsi:type="dcterms:W3CDTF">2020-05-29T10:29:00Z</dcterms:modified>
</cp:coreProperties>
</file>